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057" w:rsidRPr="00B43057" w:rsidRDefault="00B43057" w:rsidP="00B43057">
      <w:pPr>
        <w:spacing w:after="0"/>
        <w:jc w:val="center"/>
        <w:rPr>
          <w:rFonts w:ascii="Arial" w:hAnsi="Arial"/>
          <w:b/>
          <w:bCs/>
          <w:sz w:val="32"/>
          <w:szCs w:val="32"/>
        </w:rPr>
      </w:pPr>
      <w:r w:rsidRPr="00B43057">
        <w:rPr>
          <w:rFonts w:ascii="Arial" w:hAnsi="Arial"/>
          <w:b/>
          <w:bCs/>
          <w:sz w:val="32"/>
          <w:szCs w:val="32"/>
        </w:rPr>
        <w:t>Le parcours administratif du demandeur d’asile</w:t>
      </w:r>
    </w:p>
    <w:p w:rsidR="00B43057" w:rsidRPr="00B43057" w:rsidRDefault="00B43057" w:rsidP="00B43057">
      <w:pPr>
        <w:spacing w:after="0"/>
        <w:jc w:val="center"/>
        <w:rPr>
          <w:rFonts w:ascii="Arial" w:hAnsi="Arial"/>
          <w:sz w:val="28"/>
          <w:szCs w:val="28"/>
        </w:rPr>
      </w:pPr>
    </w:p>
    <w:p w:rsidR="00B43057" w:rsidRPr="00B43057" w:rsidRDefault="00B43057" w:rsidP="00B43057">
      <w:pPr>
        <w:spacing w:after="0"/>
        <w:jc w:val="center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Formation ETI du 24 sept. 2022</w:t>
      </w:r>
    </w:p>
    <w:p w:rsidR="00B43057" w:rsidRPr="00B43057" w:rsidRDefault="00B43057" w:rsidP="00B43057">
      <w:pPr>
        <w:spacing w:after="0"/>
        <w:jc w:val="center"/>
        <w:rPr>
          <w:rFonts w:ascii="Arial" w:hAnsi="Arial"/>
          <w:sz w:val="28"/>
          <w:szCs w:val="28"/>
        </w:rPr>
      </w:pPr>
    </w:p>
    <w:p w:rsidR="00B43057" w:rsidRPr="00B43057" w:rsidRDefault="00B43057" w:rsidP="00B43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/>
          <w:sz w:val="28"/>
          <w:szCs w:val="28"/>
        </w:rPr>
      </w:pPr>
      <w:r w:rsidRPr="00B43057">
        <w:rPr>
          <w:rFonts w:ascii="Arial" w:hAnsi="Arial"/>
          <w:b/>
          <w:bCs/>
          <w:sz w:val="28"/>
          <w:szCs w:val="28"/>
        </w:rPr>
        <w:t xml:space="preserve">CORRIGE DU QCM DE FIN DE SESSION 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1. Le principe de l’asile est affirmé :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B43057">
        <w:rPr>
          <w:rFonts w:ascii="Arial" w:hAnsi="Arial"/>
          <w:b/>
          <w:bCs/>
          <w:sz w:val="24"/>
          <w:szCs w:val="24"/>
        </w:rPr>
        <w:t>a</w:t>
      </w:r>
      <w:r w:rsidRPr="00B43057">
        <w:rPr>
          <w:rFonts w:ascii="Arial" w:hAnsi="Arial"/>
          <w:b/>
          <w:bCs/>
          <w:sz w:val="24"/>
          <w:szCs w:val="24"/>
          <w:highlight w:val="yellow"/>
        </w:rPr>
        <w:t>. Dès les premiers temps de l’ère chrétienne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b. Durant l’Ancien Régime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B43057">
        <w:rPr>
          <w:rFonts w:ascii="Arial" w:hAnsi="Arial"/>
          <w:b/>
          <w:bCs/>
          <w:sz w:val="24"/>
          <w:szCs w:val="24"/>
          <w:highlight w:val="yellow"/>
        </w:rPr>
        <w:t>c. À partir de la Révolution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2. L’éligibilité à la qualité de réfugié est de la compétence :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 xml:space="preserve">a. D’un comité spécial des Nations Unies 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B43057">
        <w:rPr>
          <w:rFonts w:ascii="Arial" w:hAnsi="Arial"/>
          <w:b/>
          <w:bCs/>
          <w:sz w:val="24"/>
          <w:szCs w:val="24"/>
        </w:rPr>
        <w:t>b</w:t>
      </w:r>
      <w:r w:rsidRPr="00B43057">
        <w:rPr>
          <w:rFonts w:ascii="Arial" w:hAnsi="Arial"/>
          <w:b/>
          <w:bCs/>
          <w:sz w:val="24"/>
          <w:szCs w:val="24"/>
          <w:highlight w:val="yellow"/>
        </w:rPr>
        <w:t>. Des États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c. Du Haut-Commissariat des Nations Unies pour les réfugiés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3. Le cadre européen du droit d’asile repose sur :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  <w:highlight w:val="yellow"/>
        </w:rPr>
      </w:pPr>
      <w:r w:rsidRPr="00B43057">
        <w:rPr>
          <w:rFonts w:ascii="Arial" w:hAnsi="Arial"/>
          <w:b/>
          <w:bCs/>
          <w:sz w:val="24"/>
          <w:szCs w:val="24"/>
        </w:rPr>
        <w:t xml:space="preserve">a. </w:t>
      </w:r>
      <w:r w:rsidRPr="00B43057">
        <w:rPr>
          <w:rFonts w:ascii="Arial" w:hAnsi="Arial" w:cs="Arial"/>
          <w:b/>
          <w:bCs/>
          <w:sz w:val="24"/>
          <w:szCs w:val="24"/>
          <w:highlight w:val="yellow"/>
        </w:rPr>
        <w:t>Le règlement du 26 juin 2013 dit « Dublin III »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  <w:highlight w:val="yellow"/>
        </w:rPr>
      </w:pPr>
      <w:r w:rsidRPr="00B43057">
        <w:rPr>
          <w:rFonts w:ascii="Arial" w:hAnsi="Arial"/>
          <w:b/>
          <w:bCs/>
          <w:sz w:val="24"/>
          <w:szCs w:val="24"/>
          <w:highlight w:val="yellow"/>
        </w:rPr>
        <w:t>b. La directive « Procédure » du 26 juin 2013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B43057">
        <w:rPr>
          <w:rFonts w:ascii="Arial" w:hAnsi="Arial"/>
          <w:b/>
          <w:bCs/>
          <w:sz w:val="24"/>
          <w:szCs w:val="24"/>
          <w:highlight w:val="yellow"/>
        </w:rPr>
        <w:t>c. La directive du 29 avril 2004 dite « Qualification »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4. Le réfugié est, selon la définition de la Convention de Genève :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B43057">
        <w:rPr>
          <w:rFonts w:ascii="Arial" w:hAnsi="Arial"/>
          <w:b/>
          <w:bCs/>
          <w:sz w:val="24"/>
          <w:szCs w:val="24"/>
        </w:rPr>
        <w:t>a</w:t>
      </w:r>
      <w:r w:rsidRPr="00B43057">
        <w:rPr>
          <w:rFonts w:ascii="Arial" w:hAnsi="Arial"/>
          <w:b/>
          <w:bCs/>
          <w:sz w:val="24"/>
          <w:szCs w:val="24"/>
          <w:highlight w:val="yellow"/>
        </w:rPr>
        <w:t>. « Une personne qui craint avec raison d'être persécutée »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b. « Une personne qui craint avec raison d'être tuée »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c. « Une personne qui craint avec raison d'être abusée »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 xml:space="preserve">5. La reconnaissance de la qualité de réfugié emporte pour les bénéficiaires du statut : 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  <w:highlight w:val="yellow"/>
        </w:rPr>
      </w:pPr>
      <w:r w:rsidRPr="00B43057">
        <w:rPr>
          <w:rFonts w:ascii="Arial" w:hAnsi="Arial"/>
          <w:b/>
          <w:bCs/>
          <w:sz w:val="24"/>
          <w:szCs w:val="24"/>
          <w:highlight w:val="yellow"/>
        </w:rPr>
        <w:t>a. Le droit au séjour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  <w:highlight w:val="yellow"/>
        </w:rPr>
      </w:pPr>
      <w:r w:rsidRPr="00B43057">
        <w:rPr>
          <w:rFonts w:ascii="Arial" w:hAnsi="Arial"/>
          <w:b/>
          <w:bCs/>
          <w:sz w:val="24"/>
          <w:szCs w:val="24"/>
          <w:highlight w:val="yellow"/>
        </w:rPr>
        <w:t>b. Le droit au travail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B43057">
        <w:rPr>
          <w:rFonts w:ascii="Arial" w:hAnsi="Arial"/>
          <w:b/>
          <w:bCs/>
          <w:sz w:val="24"/>
          <w:szCs w:val="24"/>
          <w:highlight w:val="yellow"/>
        </w:rPr>
        <w:t>c. Le droit à la formation professionnelle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6. Les droits conférés par la protection subsidiaire sont :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B43057">
        <w:rPr>
          <w:rFonts w:ascii="Arial" w:hAnsi="Arial"/>
          <w:b/>
          <w:bCs/>
          <w:sz w:val="24"/>
          <w:szCs w:val="24"/>
          <w:highlight w:val="yellow"/>
        </w:rPr>
        <w:t>a. Plus limités que ceux du statut de réfugié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b. Identiques à ceux du statut de réfugié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c. Plus importants que ceux du statut de réfugié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7. L'Office français de l'immigration et de l'intégration est :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  <w:highlight w:val="yellow"/>
        </w:rPr>
      </w:pPr>
      <w:r w:rsidRPr="00B43057">
        <w:rPr>
          <w:rFonts w:ascii="Arial" w:hAnsi="Arial"/>
          <w:b/>
          <w:bCs/>
          <w:sz w:val="24"/>
          <w:szCs w:val="24"/>
          <w:highlight w:val="yellow"/>
        </w:rPr>
        <w:t>a. Responsable de l'accueil des demandeurs d'asile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B43057">
        <w:rPr>
          <w:rFonts w:ascii="Arial" w:hAnsi="Arial"/>
          <w:b/>
          <w:bCs/>
          <w:sz w:val="24"/>
          <w:szCs w:val="24"/>
          <w:highlight w:val="yellow"/>
        </w:rPr>
        <w:t>b. Responsable de l'hébergement des demandeurs d'asile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c. Procède à un examen individuel de la demande d'asile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8. L’Office français de protection des réfugiés et apatrides :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a. Est responsable de l'accueil des demandeurs d'asile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sz w:val="24"/>
          <w:szCs w:val="24"/>
        </w:rPr>
      </w:pPr>
      <w:r w:rsidRPr="00B43057">
        <w:rPr>
          <w:rFonts w:ascii="Arial" w:hAnsi="Arial"/>
          <w:sz w:val="24"/>
          <w:szCs w:val="24"/>
        </w:rPr>
        <w:t>b. Est responsable de l'hébergement des demandeurs d'asile</w:t>
      </w:r>
    </w:p>
    <w:p w:rsidR="00B43057" w:rsidRPr="00B43057" w:rsidRDefault="00B43057" w:rsidP="00B43057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B43057">
        <w:rPr>
          <w:rFonts w:ascii="Arial" w:hAnsi="Arial"/>
          <w:b/>
          <w:bCs/>
          <w:sz w:val="24"/>
          <w:szCs w:val="24"/>
          <w:highlight w:val="yellow"/>
        </w:rPr>
        <w:t>c. Procède à un examen individuel de la demande d'asile</w:t>
      </w:r>
    </w:p>
    <w:sectPr w:rsidR="00B43057" w:rsidRPr="00B43057" w:rsidSect="00471D56">
      <w:footerReference w:type="default" r:id="rId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941489"/>
      <w:docPartObj>
        <w:docPartGallery w:val="Page Numbers (Bottom of Page)"/>
        <w:docPartUnique/>
      </w:docPartObj>
    </w:sdtPr>
    <w:sdtContent>
      <w:p w:rsidR="00032C14" w:rsidRDefault="0000000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32C14" w:rsidRDefault="00000000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57"/>
    <w:rsid w:val="008D6472"/>
    <w:rsid w:val="00B4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1002"/>
  <w15:chartTrackingRefBased/>
  <w15:docId w15:val="{46957246-2447-430D-ADE8-DB3D6AB4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4305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</w:rPr>
  </w:style>
  <w:style w:type="character" w:customStyle="1" w:styleId="PieddepageCar">
    <w:name w:val="Pied de page Car"/>
    <w:basedOn w:val="Policepardfaut"/>
    <w:link w:val="Pieddepage"/>
    <w:uiPriority w:val="99"/>
    <w:rsid w:val="00B4305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BALANDIER</dc:creator>
  <cp:keywords/>
  <dc:description/>
  <cp:lastModifiedBy>michel BALANDIER</cp:lastModifiedBy>
  <cp:revision>1</cp:revision>
  <dcterms:created xsi:type="dcterms:W3CDTF">2022-09-26T05:22:00Z</dcterms:created>
  <dcterms:modified xsi:type="dcterms:W3CDTF">2022-09-26T05:23:00Z</dcterms:modified>
</cp:coreProperties>
</file>